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156A8">
      <w:pPr>
        <w:pStyle w:val="3"/>
        <w:keepNext w:val="0"/>
        <w:keepLines w:val="0"/>
        <w:pageBreakBefore w:val="0"/>
        <w:kinsoku/>
        <w:wordWrap/>
        <w:overflowPunct/>
        <w:topLinePunct w:val="0"/>
        <w:autoSpaceDE/>
        <w:autoSpaceDN/>
        <w:bidi w:val="0"/>
        <w:adjustRightInd/>
        <w:snapToGrid/>
        <w:spacing w:before="156" w:after="156" w:line="560" w:lineRule="exact"/>
        <w:textAlignment w:val="auto"/>
        <w:rPr>
          <w:rFonts w:hint="eastAsia" w:ascii="方正小标宋简体" w:hAnsi="方正小标宋简体" w:eastAsia="方正小标宋简体" w:cs="方正小标宋简体"/>
          <w:b w:val="0"/>
          <w:kern w:val="2"/>
          <w:sz w:val="40"/>
          <w:szCs w:val="40"/>
          <w:lang w:val="en-US" w:eastAsia="zh-CN" w:bidi="ar-SA"/>
          <w14:ligatures w14:val="none"/>
        </w:rPr>
      </w:pPr>
      <w:bookmarkStart w:id="0" w:name="_Toc28207"/>
      <w:bookmarkStart w:id="1" w:name="_Toc727"/>
      <w:bookmarkStart w:id="2" w:name="_Toc117169791"/>
      <w:bookmarkStart w:id="3" w:name="_Toc9626"/>
      <w:bookmarkStart w:id="4" w:name="_Toc9203"/>
      <w:r>
        <w:rPr>
          <w:rFonts w:hint="eastAsia" w:ascii="方正小标宋简体" w:hAnsi="方正小标宋简体" w:eastAsia="方正小标宋简体" w:cs="方正小标宋简体"/>
          <w:b w:val="0"/>
          <w:kern w:val="2"/>
          <w:sz w:val="40"/>
          <w:szCs w:val="40"/>
          <w:lang w:val="en-US" w:eastAsia="zh-CN" w:bidi="ar-SA"/>
          <w14:ligatures w14:val="none"/>
        </w:rPr>
        <w:t>湖北大学**基金项目管理办法</w:t>
      </w:r>
      <w:bookmarkEnd w:id="0"/>
      <w:bookmarkEnd w:id="1"/>
      <w:bookmarkEnd w:id="2"/>
      <w:bookmarkEnd w:id="3"/>
      <w:bookmarkEnd w:id="4"/>
    </w:p>
    <w:p w14:paraId="322E0A5C">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仿宋_GB2312" w:cs="仿宋_GB2312"/>
          <w:sz w:val="32"/>
          <w:szCs w:val="32"/>
        </w:rPr>
      </w:pPr>
      <w:r>
        <w:rPr>
          <w:rFonts w:hint="eastAsia" w:ascii="仿宋" w:hAnsi="仿宋" w:eastAsia="仿宋" w:cs="仿宋_GB2312"/>
          <w:sz w:val="32"/>
          <w:szCs w:val="32"/>
          <w:lang w:val="en-US" w:eastAsia="zh-CN"/>
        </w:rPr>
        <w:t>（参考模板）</w:t>
      </w:r>
    </w:p>
    <w:p w14:paraId="57908CFF">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none"/>
        </w:rPr>
        <w:t>了</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目的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捐赠人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湖北</w:t>
      </w:r>
      <w:r>
        <w:rPr>
          <w:rFonts w:hint="eastAsia" w:ascii="仿宋_GB2312" w:hAnsi="仿宋_GB2312" w:eastAsia="仿宋_GB2312" w:cs="仿宋_GB2312"/>
          <w:sz w:val="32"/>
          <w:szCs w:val="32"/>
        </w:rPr>
        <w:t>大学捐赠设立</w:t>
      </w:r>
      <w:r>
        <w:rPr>
          <w:rFonts w:hint="eastAsia" w:ascii="仿宋_GB2312" w:hAnsi="仿宋_GB2312" w:eastAsia="仿宋_GB2312" w:cs="仿宋_GB2312"/>
          <w:sz w:val="32"/>
          <w:szCs w:val="32"/>
          <w:u w:val="none"/>
        </w:rPr>
        <w:t>“（捐赠项目名称）”</w:t>
      </w:r>
      <w:r>
        <w:rPr>
          <w:rFonts w:hint="eastAsia" w:ascii="仿宋_GB2312" w:hAnsi="仿宋_GB2312" w:eastAsia="仿宋_GB2312" w:cs="仿宋_GB2312"/>
          <w:sz w:val="32"/>
          <w:szCs w:val="32"/>
        </w:rPr>
        <w:t>。为规范对本基金项目的管理，保障</w:t>
      </w:r>
      <w:bookmarkStart w:id="5" w:name="_GoBack"/>
      <w:bookmarkEnd w:id="5"/>
      <w:r>
        <w:rPr>
          <w:rFonts w:hint="eastAsia" w:ascii="仿宋_GB2312" w:hAnsi="仿宋_GB2312" w:eastAsia="仿宋_GB2312" w:cs="仿宋_GB2312"/>
          <w:sz w:val="32"/>
          <w:szCs w:val="32"/>
        </w:rPr>
        <w:t>捐赠双方的合法权益，充分发挥捐赠款在学校建设发展中的重要作用，根据《</w:t>
      </w:r>
      <w:r>
        <w:rPr>
          <w:rFonts w:hint="eastAsia" w:ascii="仿宋_GB2312" w:hAnsi="仿宋_GB2312" w:eastAsia="仿宋_GB2312" w:cs="仿宋_GB2312"/>
          <w:sz w:val="32"/>
          <w:szCs w:val="32"/>
          <w:lang w:val="en-US" w:eastAsia="zh-CN"/>
        </w:rPr>
        <w:t>湖北</w:t>
      </w:r>
      <w:r>
        <w:rPr>
          <w:rFonts w:hint="eastAsia" w:ascii="仿宋_GB2312" w:hAnsi="仿宋_GB2312" w:eastAsia="仿宋_GB2312" w:cs="仿宋_GB2312"/>
          <w:sz w:val="32"/>
          <w:szCs w:val="32"/>
        </w:rPr>
        <w:t>大学教育发展基金会章程》、</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湖北</w:t>
      </w:r>
      <w:r>
        <w:rPr>
          <w:rFonts w:hint="eastAsia" w:ascii="仿宋_GB2312" w:hAnsi="仿宋_GB2312" w:eastAsia="仿宋_GB2312" w:cs="仿宋_GB2312"/>
          <w:color w:val="000000" w:themeColor="text1"/>
          <w:kern w:val="0"/>
          <w:sz w:val="32"/>
          <w:szCs w:val="32"/>
          <w14:textFill>
            <w14:solidFill>
              <w14:schemeClr w14:val="tx1"/>
            </w14:solidFill>
          </w14:textFill>
        </w:rPr>
        <w:t>大学教育发展基金会财务管理办法》、《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湖北</w:t>
      </w:r>
      <w:r>
        <w:rPr>
          <w:rFonts w:hint="eastAsia" w:ascii="仿宋_GB2312" w:hAnsi="仿宋_GB2312" w:eastAsia="仿宋_GB2312" w:cs="仿宋_GB2312"/>
          <w:color w:val="000000" w:themeColor="text1"/>
          <w:kern w:val="0"/>
          <w:sz w:val="32"/>
          <w:szCs w:val="32"/>
          <w14:textFill>
            <w14:solidFill>
              <w14:schemeClr w14:val="tx1"/>
            </w14:solidFill>
          </w14:textFill>
        </w:rPr>
        <w:t>大学教育发展基金会项目管理办法》</w:t>
      </w:r>
      <w:r>
        <w:rPr>
          <w:rFonts w:hint="eastAsia" w:ascii="仿宋_GB2312" w:hAnsi="仿宋_GB2312" w:eastAsia="仿宋_GB2312" w:cs="仿宋_GB2312"/>
          <w:sz w:val="32"/>
          <w:szCs w:val="32"/>
        </w:rPr>
        <w:t>等规章制度，特制定本办法。</w:t>
      </w:r>
    </w:p>
    <w:p w14:paraId="7F611968">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本基金的名称为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（捐赠项目名称）</w:t>
      </w:r>
      <w:r>
        <w:rPr>
          <w:rFonts w:hint="eastAsia" w:ascii="仿宋_GB2312" w:hAnsi="仿宋_GB2312" w:eastAsia="仿宋_GB2312" w:cs="仿宋_GB2312"/>
          <w:sz w:val="32"/>
          <w:szCs w:val="32"/>
        </w:rPr>
        <w:t>，是隶属于</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大学教育发展基金会的捐赠项目，项目责任单位为</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w:t>
      </w:r>
      <w:r>
        <w:rPr>
          <w:rFonts w:hint="eastAsia" w:ascii="仿宋_GB2312" w:hAnsi="仿宋_GB2312" w:eastAsia="仿宋_GB2312" w:cs="仿宋_GB2312"/>
          <w:sz w:val="32"/>
          <w:szCs w:val="32"/>
          <w:u w:val="none"/>
          <w:lang w:val="en-US" w:eastAsia="zh-CN"/>
        </w:rPr>
        <w:t>*****（单位）</w:t>
      </w:r>
      <w:r>
        <w:rPr>
          <w:rFonts w:hint="eastAsia" w:ascii="仿宋_GB2312" w:hAnsi="仿宋_GB2312" w:eastAsia="仿宋_GB2312" w:cs="仿宋_GB2312"/>
          <w:sz w:val="32"/>
          <w:szCs w:val="32"/>
        </w:rPr>
        <w:t>。</w:t>
      </w:r>
    </w:p>
    <w:p w14:paraId="0DD166F3">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本基金为</w:t>
      </w:r>
      <w:r>
        <w:rPr>
          <w:rFonts w:hint="eastAsia" w:ascii="仿宋_GB2312" w:hAnsi="仿宋_GB2312" w:eastAsia="仿宋_GB2312" w:cs="仿宋_GB2312"/>
          <w:sz w:val="32"/>
          <w:szCs w:val="32"/>
          <w:u w:val="none"/>
        </w:rPr>
        <w:t>（留本/非留本）</w:t>
      </w:r>
      <w:r>
        <w:rPr>
          <w:rFonts w:hint="eastAsia" w:ascii="仿宋_GB2312" w:hAnsi="仿宋_GB2312" w:eastAsia="仿宋_GB2312" w:cs="仿宋_GB2312"/>
          <w:sz w:val="32"/>
          <w:szCs w:val="32"/>
        </w:rPr>
        <w:t>的定向捐赠项目，总规模</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万元。</w:t>
      </w:r>
    </w:p>
    <w:p w14:paraId="35672097">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本基金指定用于</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。其具体使用范围（需详细具体）包括：</w:t>
      </w:r>
    </w:p>
    <w:p w14:paraId="505A100E">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（一）</w:t>
      </w:r>
    </w:p>
    <w:p w14:paraId="2A26C2B4">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（二）</w:t>
      </w:r>
    </w:p>
    <w:p w14:paraId="2C083029">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p>
    <w:p w14:paraId="512C5448">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本基金设立管理委员会，负责本基金的管理和使用。管理委员会成员共</w:t>
      </w:r>
      <w:r>
        <w:rPr>
          <w:rFonts w:hint="eastAsia" w:ascii="仿宋_GB2312" w:hAnsi="仿宋_GB2312" w:eastAsia="仿宋_GB2312" w:cs="仿宋_GB2312"/>
          <w:sz w:val="32"/>
          <w:szCs w:val="32"/>
          <w:u w:val="none"/>
        </w:rPr>
        <w:t>（建议3-</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，主任为</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u w:val="none"/>
        </w:rPr>
        <w:t>包括</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。（也可由项目责任单位的党政联席会、处长办公会等决策机构行使管理委员会职能。）</w:t>
      </w:r>
    </w:p>
    <w:p w14:paraId="2CAA419F">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本基金管理委员会行使以下职权（供参考）：</w:t>
      </w:r>
    </w:p>
    <w:p w14:paraId="1AA4471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（一）制定、修订本基金的管理办法；</w:t>
      </w:r>
    </w:p>
    <w:p w14:paraId="2B47ADB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（二）选举、罢免基金管理委员会成员；</w:t>
      </w:r>
    </w:p>
    <w:p w14:paraId="77DF60EC">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（三）审议决定基金年度支出计划和方案；</w:t>
      </w:r>
    </w:p>
    <w:p w14:paraId="4F96471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（四）决定本基金的终止；</w:t>
      </w:r>
    </w:p>
    <w:p w14:paraId="5331A228">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（五）决定本基金的其他重大事项。</w:t>
      </w:r>
    </w:p>
    <w:p w14:paraId="3226B4D8">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本基金管理委员会设立秘书处，承担具体事务性工作。秘书处设在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 xml:space="preserve"> （项目责任单位） </w:t>
      </w:r>
      <w:r>
        <w:rPr>
          <w:rFonts w:hint="eastAsia" w:ascii="仿宋_GB2312" w:hAnsi="仿宋_GB2312" w:eastAsia="仿宋_GB2312" w:cs="仿宋_GB2312"/>
          <w:color w:val="000000" w:themeColor="text1"/>
          <w:sz w:val="32"/>
          <w:szCs w:val="32"/>
          <w14:textFill>
            <w14:solidFill>
              <w14:schemeClr w14:val="tx1"/>
            </w14:solidFill>
          </w14:textFill>
        </w:rPr>
        <w:t>，工作人员由基金管理委员会确定。</w:t>
      </w:r>
    </w:p>
    <w:p w14:paraId="11F493EB">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本基金的申请流程如下：</w:t>
      </w:r>
    </w:p>
    <w:p w14:paraId="6EDB62DA">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14:paraId="716C462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61CBEA8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14:paraId="66F05ACF">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本基金的支出流程如下（供参考）：</w:t>
      </w:r>
    </w:p>
    <w:p w14:paraId="2DD8B26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（一）基金管委会根据本基金宗旨和受益单位需求，制定年度支出计划；</w:t>
      </w:r>
    </w:p>
    <w:p w14:paraId="6D4024C1">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（二）基金受益单位根据基金年度支出计划向基金管委会秘书处提出经费申请；</w:t>
      </w:r>
    </w:p>
    <w:p w14:paraId="50CEE11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（三）基金管委会秘书处初审后提交基金管委会审议；</w:t>
      </w:r>
    </w:p>
    <w:p w14:paraId="2B9D4B2E">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（四）基金管委会审批通过；</w:t>
      </w:r>
    </w:p>
    <w:p w14:paraId="4C59DCCE">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（五）基金管委会秘书处向</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大学教育发展基金会提交基金支出报告，经基金会负责人审核签字同意后按《</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w:t>
      </w:r>
      <w:r>
        <w:rPr>
          <w:rFonts w:hint="eastAsia" w:ascii="仿宋_GB2312" w:hAnsi="仿宋_GB2312" w:eastAsia="仿宋_GB2312" w:cs="仿宋_GB2312"/>
          <w:sz w:val="32"/>
          <w:szCs w:val="32"/>
          <w:lang w:val="en-US" w:eastAsia="zh-CN"/>
        </w:rPr>
        <w:t>财务管理办法</w:t>
      </w:r>
      <w:r>
        <w:rPr>
          <w:rFonts w:hint="eastAsia" w:ascii="仿宋_GB2312" w:hAnsi="仿宋_GB2312" w:eastAsia="仿宋_GB2312" w:cs="仿宋_GB2312"/>
          <w:sz w:val="32"/>
          <w:szCs w:val="32"/>
        </w:rPr>
        <w:t>》支出；</w:t>
      </w:r>
    </w:p>
    <w:p w14:paraId="2E78B469">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（六）本基金受益单位定期向基金管委会反馈基金使用情况。</w:t>
      </w:r>
    </w:p>
    <w:p w14:paraId="67ADF75C">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color w:val="000000" w:themeColor="text1"/>
          <w:sz w:val="32"/>
          <w:szCs w:val="32"/>
          <w14:textFill>
            <w14:solidFill>
              <w14:schemeClr w14:val="tx1"/>
            </w14:solidFill>
          </w14:textFill>
        </w:rPr>
        <w:t>本基金管理委员会及其秘书处有权对资助的使用情况进行监督。受益人或受益单位未按协议约定使用资助或者有其他违反协议情形的，本基金有权解除资助协议。</w:t>
      </w:r>
    </w:p>
    <w:p w14:paraId="17F76EBF">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color w:val="000000" w:themeColor="text1"/>
          <w:sz w:val="32"/>
          <w:szCs w:val="32"/>
          <w14:textFill>
            <w14:solidFill>
              <w14:schemeClr w14:val="tx1"/>
            </w14:solidFill>
          </w14:textFill>
        </w:rPr>
        <w:t>本基金的捐赠人有权向本基金查询捐赠财产的使用、管理情况，并提出意见和建议。对于捐赠人的查询，本基金管理委员会及其秘书处应当及时如实答复。</w:t>
      </w:r>
    </w:p>
    <w:p w14:paraId="0A606590">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大学教育发展基金会负责对本基金实行专项管理，确保专款专用，并按照有关政策法规进行会计核算，定期向捐赠人报告基金收支状况，依法接受国家税务、审计等主管部门依法实施的税务监督和审计监督。</w:t>
      </w:r>
    </w:p>
    <w:p w14:paraId="2F25066D">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本基金有以下情况之一，应当终止（供参考）：</w:t>
      </w:r>
    </w:p>
    <w:p w14:paraId="3A74578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（一）完成本办法规定的基金设立目的；</w:t>
      </w:r>
    </w:p>
    <w:p w14:paraId="1C4E4D9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（二）无法继续从事本办法规定的公益活动的；</w:t>
      </w:r>
    </w:p>
    <w:p w14:paraId="0302EC7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（三）基金理事会决定终止的其他情形。</w:t>
      </w:r>
    </w:p>
    <w:p w14:paraId="2235CEC5">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本基金管理委员会应在启动终止程序后的两个月内完成基金终止的财产清算、审计和公示工作。基金终止后的剩余财产，由基金管理委员会研究决定，用于符合</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大学教育发展基金会宗旨的其它公益目的。</w:t>
      </w:r>
    </w:p>
    <w:p w14:paraId="7E56737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D0D0D"/>
          <w:spacing w:val="0"/>
          <w:sz w:val="32"/>
          <w:szCs w:val="32"/>
          <w:shd w:val="clear" w:color="auto" w:fill="FFFFFF"/>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i w:val="0"/>
          <w:iCs w:val="0"/>
          <w:caps w:val="0"/>
          <w:color w:val="0D0D0D"/>
          <w:spacing w:val="0"/>
          <w:sz w:val="32"/>
          <w:szCs w:val="32"/>
          <w:shd w:val="clear" w:color="auto" w:fill="FFFFFF"/>
        </w:rPr>
        <w:t>本办法由</w:t>
      </w:r>
      <w:r>
        <w:rPr>
          <w:rFonts w:hint="eastAsia" w:ascii="仿宋_GB2312" w:hAnsi="仿宋_GB2312" w:eastAsia="仿宋_GB2312" w:cs="仿宋_GB2312"/>
          <w:i w:val="0"/>
          <w:iCs w:val="0"/>
          <w:caps w:val="0"/>
          <w:color w:val="0D0D0D"/>
          <w:spacing w:val="0"/>
          <w:sz w:val="32"/>
          <w:szCs w:val="32"/>
          <w:shd w:val="clear" w:color="auto" w:fill="FFFFFF"/>
          <w:lang w:val="en-US" w:eastAsia="zh-CN"/>
        </w:rPr>
        <w:t>**（实施单位）负责</w:t>
      </w:r>
      <w:r>
        <w:rPr>
          <w:rFonts w:hint="eastAsia" w:ascii="仿宋_GB2312" w:hAnsi="仿宋_GB2312" w:eastAsia="仿宋_GB2312" w:cs="仿宋_GB2312"/>
          <w:i w:val="0"/>
          <w:iCs w:val="0"/>
          <w:caps w:val="0"/>
          <w:color w:val="0D0D0D"/>
          <w:spacing w:val="0"/>
          <w:sz w:val="32"/>
          <w:szCs w:val="32"/>
          <w:shd w:val="clear" w:color="auto" w:fill="FFFFFF"/>
        </w:rPr>
        <w:t>解释，</w:t>
      </w:r>
      <w:r>
        <w:rPr>
          <w:rFonts w:hint="eastAsia" w:ascii="仿宋_GB2312" w:hAnsi="仿宋_GB2312" w:eastAsia="仿宋_GB2312" w:cs="仿宋_GB2312"/>
          <w:i w:val="0"/>
          <w:iCs w:val="0"/>
          <w:caps w:val="0"/>
          <w:color w:val="0D0D0D"/>
          <w:spacing w:val="0"/>
          <w:sz w:val="32"/>
          <w:szCs w:val="32"/>
          <w:shd w:val="clear" w:color="auto" w:fill="FFFFFF"/>
          <w:lang w:val="en-US" w:eastAsia="zh-CN"/>
        </w:rPr>
        <w:t>经捐赠人同意并报湖北大学教育发展基金会审核备案后生效。</w:t>
      </w:r>
      <w:r>
        <w:rPr>
          <w:rFonts w:hint="eastAsia" w:ascii="仿宋_GB2312" w:hAnsi="仿宋_GB2312" w:eastAsia="仿宋_GB2312" w:cs="仿宋_GB2312"/>
          <w:i w:val="0"/>
          <w:iCs w:val="0"/>
          <w:caps w:val="0"/>
          <w:color w:val="0D0D0D"/>
          <w:spacing w:val="0"/>
          <w:sz w:val="32"/>
          <w:szCs w:val="32"/>
          <w:shd w:val="clear" w:color="auto" w:fill="FFFFFF"/>
        </w:rPr>
        <w:t>修订</w:t>
      </w:r>
      <w:r>
        <w:rPr>
          <w:rFonts w:hint="eastAsia" w:ascii="仿宋_GB2312" w:hAnsi="仿宋_GB2312" w:eastAsia="仿宋_GB2312" w:cs="仿宋_GB2312"/>
          <w:i w:val="0"/>
          <w:iCs w:val="0"/>
          <w:caps w:val="0"/>
          <w:color w:val="0D0D0D"/>
          <w:spacing w:val="0"/>
          <w:sz w:val="32"/>
          <w:szCs w:val="32"/>
          <w:shd w:val="clear" w:color="auto" w:fill="FFFFFF"/>
          <w:lang w:val="en-US" w:eastAsia="zh-CN"/>
        </w:rPr>
        <w:t>需与</w:t>
      </w:r>
      <w:r>
        <w:rPr>
          <w:rFonts w:hint="eastAsia" w:ascii="仿宋_GB2312" w:hAnsi="仿宋_GB2312" w:eastAsia="仿宋_GB2312" w:cs="仿宋_GB2312"/>
          <w:i w:val="0"/>
          <w:iCs w:val="0"/>
          <w:caps w:val="0"/>
          <w:color w:val="0D0D0D"/>
          <w:spacing w:val="0"/>
          <w:sz w:val="32"/>
          <w:szCs w:val="32"/>
          <w:shd w:val="clear" w:color="auto" w:fill="FFFFFF"/>
        </w:rPr>
        <w:t>捐赠</w:t>
      </w:r>
      <w:r>
        <w:rPr>
          <w:rFonts w:hint="eastAsia" w:ascii="仿宋_GB2312" w:hAnsi="仿宋_GB2312" w:eastAsia="仿宋_GB2312" w:cs="仿宋_GB2312"/>
          <w:i w:val="0"/>
          <w:iCs w:val="0"/>
          <w:caps w:val="0"/>
          <w:color w:val="0D0D0D"/>
          <w:spacing w:val="0"/>
          <w:sz w:val="32"/>
          <w:szCs w:val="32"/>
          <w:shd w:val="clear" w:color="auto" w:fill="FFFFFF"/>
          <w:lang w:val="en-US" w:eastAsia="zh-CN"/>
        </w:rPr>
        <w:t>人协商同意</w:t>
      </w:r>
      <w:r>
        <w:rPr>
          <w:rFonts w:hint="eastAsia" w:ascii="仿宋_GB2312" w:hAnsi="仿宋_GB2312" w:eastAsia="仿宋_GB2312" w:cs="仿宋_GB2312"/>
          <w:i w:val="0"/>
          <w:iCs w:val="0"/>
          <w:caps w:val="0"/>
          <w:color w:val="0D0D0D"/>
          <w:spacing w:val="0"/>
          <w:sz w:val="32"/>
          <w:szCs w:val="32"/>
          <w:shd w:val="clear" w:color="auto" w:fill="FFFFFF"/>
        </w:rPr>
        <w:t>。</w:t>
      </w:r>
    </w:p>
    <w:p w14:paraId="063E581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D0D0D"/>
          <w:spacing w:val="0"/>
          <w:sz w:val="32"/>
          <w:szCs w:val="32"/>
        </w:rPr>
      </w:pPr>
      <w:r>
        <w:rPr>
          <w:rStyle w:val="7"/>
          <w:rFonts w:hint="eastAsia" w:ascii="仿宋_GB2312" w:hAnsi="仿宋_GB2312" w:eastAsia="仿宋_GB2312" w:cs="仿宋_GB2312"/>
          <w:b/>
          <w:bCs/>
          <w:i w:val="0"/>
          <w:iCs w:val="0"/>
          <w:caps w:val="0"/>
          <w:color w:val="0D0D0D"/>
          <w:spacing w:val="0"/>
          <w:sz w:val="32"/>
          <w:szCs w:val="32"/>
          <w:shd w:val="clear" w:color="auto" w:fill="FFFFFF"/>
        </w:rPr>
        <w:t>第十</w:t>
      </w:r>
      <w:r>
        <w:rPr>
          <w:rStyle w:val="7"/>
          <w:rFonts w:hint="eastAsia" w:ascii="仿宋_GB2312" w:hAnsi="仿宋_GB2312" w:eastAsia="仿宋_GB2312" w:cs="仿宋_GB2312"/>
          <w:b/>
          <w:bCs/>
          <w:i w:val="0"/>
          <w:iCs w:val="0"/>
          <w:caps w:val="0"/>
          <w:color w:val="0D0D0D"/>
          <w:spacing w:val="0"/>
          <w:sz w:val="32"/>
          <w:szCs w:val="32"/>
          <w:shd w:val="clear" w:color="auto" w:fill="FFFFFF"/>
          <w:lang w:val="en-US" w:eastAsia="zh-CN"/>
        </w:rPr>
        <w:t>五</w:t>
      </w:r>
      <w:r>
        <w:rPr>
          <w:rStyle w:val="7"/>
          <w:rFonts w:hint="eastAsia" w:ascii="仿宋_GB2312" w:hAnsi="仿宋_GB2312" w:eastAsia="仿宋_GB2312" w:cs="仿宋_GB2312"/>
          <w:b/>
          <w:bCs/>
          <w:i w:val="0"/>
          <w:iCs w:val="0"/>
          <w:caps w:val="0"/>
          <w:color w:val="0D0D0D"/>
          <w:spacing w:val="0"/>
          <w:sz w:val="32"/>
          <w:szCs w:val="32"/>
          <w:shd w:val="clear" w:color="auto" w:fill="FFFFFF"/>
        </w:rPr>
        <w:t>条</w:t>
      </w:r>
      <w:r>
        <w:rPr>
          <w:rFonts w:hint="eastAsia" w:ascii="仿宋_GB2312" w:hAnsi="仿宋_GB2312" w:eastAsia="仿宋_GB2312" w:cs="仿宋_GB2312"/>
          <w:i w:val="0"/>
          <w:iCs w:val="0"/>
          <w:caps w:val="0"/>
          <w:color w:val="0D0D0D"/>
          <w:spacing w:val="0"/>
          <w:sz w:val="32"/>
          <w:szCs w:val="32"/>
          <w:shd w:val="clear" w:color="auto" w:fill="FFFFFF"/>
        </w:rPr>
        <w:t> 本办法自</w:t>
      </w:r>
      <w:r>
        <w:rPr>
          <w:rFonts w:hint="eastAsia" w:ascii="仿宋_GB2312" w:hAnsi="仿宋_GB2312" w:eastAsia="仿宋_GB2312" w:cs="仿宋_GB2312"/>
          <w:i w:val="0"/>
          <w:iCs w:val="0"/>
          <w:caps w:val="0"/>
          <w:color w:val="0D0D0D"/>
          <w:spacing w:val="0"/>
          <w:sz w:val="32"/>
          <w:szCs w:val="32"/>
          <w:shd w:val="clear" w:color="auto" w:fill="FFFFFF"/>
          <w:lang w:val="en-US" w:eastAsia="zh-CN"/>
        </w:rPr>
        <w:t>**年**月**日</w:t>
      </w:r>
      <w:r>
        <w:rPr>
          <w:rFonts w:hint="eastAsia" w:ascii="仿宋_GB2312" w:hAnsi="仿宋_GB2312" w:eastAsia="仿宋_GB2312" w:cs="仿宋_GB2312"/>
          <w:i w:val="0"/>
          <w:iCs w:val="0"/>
          <w:caps w:val="0"/>
          <w:color w:val="0D0D0D"/>
          <w:spacing w:val="0"/>
          <w:sz w:val="32"/>
          <w:szCs w:val="32"/>
          <w:shd w:val="clear" w:color="auto" w:fill="FFFFFF"/>
        </w:rPr>
        <w:t>起施行。</w:t>
      </w:r>
    </w:p>
    <w:p w14:paraId="67B7C9D1">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after="0" w:afterAutospacing="0" w:line="560" w:lineRule="exact"/>
        <w:ind w:left="0" w:right="0" w:firstLine="0"/>
        <w:jc w:val="center"/>
        <w:textAlignment w:val="auto"/>
        <w:rPr>
          <w:rStyle w:val="7"/>
          <w:rFonts w:hint="eastAsia" w:ascii="仿宋_GB2312" w:hAnsi="仿宋_GB2312" w:eastAsia="仿宋_GB2312" w:cs="仿宋_GB2312"/>
          <w:b/>
          <w:bCs/>
          <w:i w:val="0"/>
          <w:iCs w:val="0"/>
          <w:caps w:val="0"/>
          <w:color w:val="0D0D0D"/>
          <w:spacing w:val="0"/>
          <w:sz w:val="32"/>
          <w:szCs w:val="32"/>
          <w:shd w:val="clear" w:color="auto" w:fill="FFFFFF"/>
          <w:lang w:val="en-US" w:eastAsia="zh-CN"/>
        </w:rPr>
      </w:pPr>
    </w:p>
    <w:p w14:paraId="759F152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FC"/>
    <w:rsid w:val="00302E8A"/>
    <w:rsid w:val="00D51EFC"/>
    <w:rsid w:val="14E67E68"/>
    <w:rsid w:val="4C8A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880" w:firstLineChars="200"/>
      <w:jc w:val="both"/>
    </w:pPr>
    <w:rPr>
      <w:rFonts w:eastAsia="宋体" w:asciiTheme="minorHAnsi" w:hAnsiTheme="minorHAnsi" w:cstheme="minorBidi"/>
      <w:kern w:val="2"/>
      <w:sz w:val="21"/>
      <w:szCs w:val="22"/>
      <w:lang w:val="en-US" w:eastAsia="zh-CN" w:bidi="ar-SA"/>
      <w14:ligatures w14:val="standardContextual"/>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link w:val="8"/>
    <w:unhideWhenUsed/>
    <w:qFormat/>
    <w:uiPriority w:val="9"/>
    <w:pPr>
      <w:spacing w:before="50" w:beforeLines="50" w:after="50" w:afterLines="50"/>
      <w:ind w:firstLine="0" w:firstLineChars="0"/>
      <w:jc w:val="center"/>
      <w:outlineLvl w:val="2"/>
    </w:pPr>
    <w:rPr>
      <w:rFonts w:ascii="楷体" w:hAnsi="楷体"/>
      <w:b/>
      <w:sz w:val="24"/>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3 字符"/>
    <w:basedOn w:val="6"/>
    <w:link w:val="3"/>
    <w:qFormat/>
    <w:uiPriority w:val="9"/>
    <w:rPr>
      <w:rFonts w:ascii="楷体" w:hAnsi="楷体" w:eastAsia="宋体"/>
      <w:b/>
      <w:sz w:val="24"/>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1274</Words>
  <Characters>1281</Characters>
  <Lines>10</Lines>
  <Paragraphs>2</Paragraphs>
  <TotalTime>4</TotalTime>
  <ScaleCrop>false</ScaleCrop>
  <LinksUpToDate>false</LinksUpToDate>
  <CharactersWithSpaces>1415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2023-05-11T09:37:00Z</dcterms:created>
  <dc:creator>刘利荣</dc:creator>
  <cp:lastModifiedBy>Leewin</cp:lastModifiedBy>
  <dcterms:modified xsi:type="dcterms:W3CDTF">2025-02-21T10:10:14Z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eyJoZGlkIjoiZmI4ZDYzOWVkMzg3MWE3YjUxNmRjNmQ1MWYzNTE3MTYiLCJ1c2VySWQiOiIyNDYwNTE0NDUifQ==</vt:lpwstr>
  </property>
  <property fmtid="{D5CDD505-2E9C-101B-9397-08002B2CF9AE}" pid="3" name="KSOProductBuildVer">
    <vt:lpwstr>2052-12.1.0.19770</vt:lpwstr>
  </property>
  <property fmtid="{D5CDD505-2E9C-101B-9397-08002B2CF9AE}" pid="4" name="ICV">
    <vt:lpwstr>083D113CD72E4FD796FB80DD0891C0FC_12</vt:lpwstr>
  </property>
</Properties>
</file>